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2554A" w14:textId="0345B9BD" w:rsidR="00D1495C" w:rsidRPr="001A0B50" w:rsidRDefault="00D1495C" w:rsidP="00D1495C">
      <w:pPr>
        <w:spacing w:after="200" w:line="276" w:lineRule="auto"/>
        <w:rPr>
          <w:b/>
        </w:rPr>
      </w:pPr>
      <w:r w:rsidRPr="001A0B50">
        <w:rPr>
          <w:b/>
        </w:rPr>
        <w:t xml:space="preserve">Figure </w:t>
      </w:r>
      <w:r w:rsidR="000612A8">
        <w:rPr>
          <w:b/>
        </w:rPr>
        <w:t>9</w:t>
      </w:r>
      <w:bookmarkStart w:id="0" w:name="_GoBack"/>
      <w:bookmarkEnd w:id="0"/>
      <w:r w:rsidRPr="001A0B50">
        <w:rPr>
          <w:b/>
        </w:rPr>
        <w:t>.</w:t>
      </w:r>
      <w:r w:rsidRPr="001A0B50">
        <w:t xml:space="preserve"> Marginal Effect of Banking Crisis on Incumbent Party Vote Share Conditional on Veto Players, 1872 - 1938</w:t>
      </w:r>
    </w:p>
    <w:p w14:paraId="1F6EF4A4" w14:textId="77777777" w:rsidR="00D1495C" w:rsidRPr="008A0509" w:rsidRDefault="00D1495C" w:rsidP="00D1495C">
      <w:pPr>
        <w:autoSpaceDE w:val="0"/>
        <w:autoSpaceDN w:val="0"/>
        <w:adjustRightInd w:val="0"/>
        <w:spacing w:line="360" w:lineRule="auto"/>
        <w:rPr>
          <w:b/>
        </w:rPr>
      </w:pPr>
      <w:r w:rsidRPr="008A0509">
        <w:rPr>
          <w:noProof/>
          <w:sz w:val="20"/>
          <w:szCs w:val="20"/>
          <w:lang w:val="en-GB" w:eastAsia="en-GB"/>
        </w:rPr>
        <w:drawing>
          <wp:inline distT="0" distB="0" distL="0" distR="0" wp14:anchorId="5C99DF8E" wp14:editId="16222D92">
            <wp:extent cx="5042535" cy="3663137"/>
            <wp:effectExtent l="0" t="0" r="12065" b="0"/>
            <wp:docPr id="1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197" cy="3668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BFB9C" w14:textId="77777777" w:rsidR="00D1495C" w:rsidRDefault="00737E6D" w:rsidP="00D1495C">
      <w:pPr>
        <w:rPr>
          <w:b/>
        </w:rPr>
      </w:pPr>
      <w:r>
        <w:rPr>
          <w:sz w:val="20"/>
          <w:szCs w:val="20"/>
        </w:rPr>
        <w:t>Dashed lines indicate 95% confidence interval.</w:t>
      </w:r>
    </w:p>
    <w:p w14:paraId="26E08D2E" w14:textId="77777777" w:rsidR="00D1495C" w:rsidRDefault="00D1495C" w:rsidP="00D1495C">
      <w:pPr>
        <w:rPr>
          <w:b/>
        </w:rPr>
      </w:pPr>
    </w:p>
    <w:p w14:paraId="0F94DAC8" w14:textId="77777777" w:rsidR="00C61CA8" w:rsidRDefault="00C61CA8"/>
    <w:sectPr w:rsidR="00C61C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95C"/>
    <w:rsid w:val="000612A8"/>
    <w:rsid w:val="00737E6D"/>
    <w:rsid w:val="00C61CA8"/>
    <w:rsid w:val="00D1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9161E"/>
  <w15:chartTrackingRefBased/>
  <w15:docId w15:val="{9FD5FCDC-F638-49CA-B2E5-75A0E3CEF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Chwieroth,JM</dc:creator>
  <cp:keywords/>
  <dc:description/>
  <cp:lastModifiedBy>Chwieroth,JM</cp:lastModifiedBy>
  <cp:revision>3</cp:revision>
  <dcterms:created xsi:type="dcterms:W3CDTF">2019-02-20T12:29:00Z</dcterms:created>
  <dcterms:modified xsi:type="dcterms:W3CDTF">2019-10-25T10:12:00Z</dcterms:modified>
</cp:coreProperties>
</file>